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187F" w14:textId="77777777" w:rsidR="002C2FC8" w:rsidRDefault="00E02A30" w:rsidP="00E02A30">
      <w:pPr>
        <w:pStyle w:val="Title"/>
        <w:jc w:val="center"/>
      </w:pPr>
      <w:r>
        <w:t>Memorandum of Understanding</w:t>
      </w:r>
    </w:p>
    <w:p w14:paraId="6349A763" w14:textId="7253B706" w:rsidR="00E02A30" w:rsidRDefault="00E02A30" w:rsidP="00E02A30">
      <w:pPr>
        <w:pStyle w:val="Heading1"/>
        <w:jc w:val="center"/>
      </w:pPr>
      <w:r>
        <w:t>A commitment to partnership between</w:t>
      </w:r>
    </w:p>
    <w:p w14:paraId="10A16881" w14:textId="2235DD69" w:rsidR="00E02A30" w:rsidRDefault="00E02A30" w:rsidP="00E02A30">
      <w:pPr>
        <w:pStyle w:val="Heading1"/>
        <w:jc w:val="center"/>
      </w:pPr>
      <w:r>
        <w:t>The British Association of Sport and Exercise Sciences (BASES)</w:t>
      </w:r>
    </w:p>
    <w:p w14:paraId="077BD88B" w14:textId="32438EBB" w:rsidR="00E02A30" w:rsidRDefault="00E02A30" w:rsidP="00E02A30">
      <w:pPr>
        <w:pStyle w:val="Heading1"/>
        <w:jc w:val="center"/>
      </w:pPr>
      <w:r>
        <w:t>And</w:t>
      </w:r>
    </w:p>
    <w:p w14:paraId="53A524C4" w14:textId="1302CB6E" w:rsidR="00E02A30" w:rsidRDefault="00E02A30" w:rsidP="00E02A30">
      <w:pPr>
        <w:pStyle w:val="Heading1"/>
        <w:jc w:val="center"/>
      </w:pPr>
      <w:r>
        <w:t>Sport and Exercise Science New Zealand</w:t>
      </w:r>
      <w:r w:rsidR="00B947C2">
        <w:t xml:space="preserve"> (SESNZ)</w:t>
      </w:r>
    </w:p>
    <w:p w14:paraId="6D42F33B" w14:textId="3C7A0815" w:rsidR="00B947C2" w:rsidRDefault="00B947C2" w:rsidP="00B947C2"/>
    <w:p w14:paraId="3094EBF7" w14:textId="54CAC3CC" w:rsidR="00B947C2" w:rsidRDefault="00B947C2" w:rsidP="00B947C2">
      <w:pPr>
        <w:pStyle w:val="Heading1"/>
        <w:numPr>
          <w:ilvl w:val="0"/>
          <w:numId w:val="1"/>
        </w:numPr>
      </w:pPr>
      <w:r>
        <w:t>Purpose</w:t>
      </w:r>
    </w:p>
    <w:p w14:paraId="01C6461A" w14:textId="3AE77E2D" w:rsidR="00B947C2" w:rsidRDefault="00B947C2" w:rsidP="00B245A8">
      <w:pPr>
        <w:ind w:left="360"/>
      </w:pPr>
      <w:r>
        <w:t>This Memorandum of Understanding (MOU) outlines the defined agreed collaborative relationship between the British Association of Sport and Exercise Sciences (BASES) and Sport and Exercise Science New Zealand (SESNZ) for purposes that enhance the activities of each organisation and foster co-operation in an international context for the benefit of all professions and professionals involved within the respective organisations.</w:t>
      </w:r>
    </w:p>
    <w:p w14:paraId="5DE06408" w14:textId="046A5F07" w:rsidR="00B947C2" w:rsidRDefault="00B947C2" w:rsidP="00B947C2"/>
    <w:p w14:paraId="7FCC3408" w14:textId="1CBFA9E4" w:rsidR="00B947C2" w:rsidRDefault="00B947C2" w:rsidP="00B947C2">
      <w:pPr>
        <w:pStyle w:val="Heading1"/>
        <w:numPr>
          <w:ilvl w:val="0"/>
          <w:numId w:val="1"/>
        </w:numPr>
      </w:pPr>
      <w:r>
        <w:t>Background</w:t>
      </w:r>
    </w:p>
    <w:p w14:paraId="7FE54EC4" w14:textId="2E819A99" w:rsidR="00B947C2" w:rsidRDefault="00752573" w:rsidP="00A84859">
      <w:pPr>
        <w:pStyle w:val="ListParagraph"/>
        <w:numPr>
          <w:ilvl w:val="1"/>
          <w:numId w:val="1"/>
        </w:numPr>
      </w:pPr>
      <w:r>
        <w:t xml:space="preserve">The British Association of Sport and Exercise Sciences (BASES) is the professional body for </w:t>
      </w:r>
      <w:r w:rsidR="00B810CF">
        <w:t>s</w:t>
      </w:r>
      <w:r>
        <w:t xml:space="preserve">port and </w:t>
      </w:r>
      <w:r w:rsidR="00B810CF">
        <w:t>e</w:t>
      </w:r>
      <w:r>
        <w:t xml:space="preserve">xercise </w:t>
      </w:r>
      <w:r w:rsidR="00B810CF">
        <w:t>s</w:t>
      </w:r>
      <w:r>
        <w:t>ciences in the United Kingdom. BASES’ mission is to promote excellence in sport and exercise sciences</w:t>
      </w:r>
      <w:r w:rsidR="0037322F">
        <w:t xml:space="preserve"> through evidence-based practice</w:t>
      </w:r>
      <w:r w:rsidR="00A84859">
        <w:t>.</w:t>
      </w:r>
    </w:p>
    <w:p w14:paraId="24578B85" w14:textId="5BCDF037" w:rsidR="007A294F" w:rsidRDefault="007A294F" w:rsidP="00A84859">
      <w:pPr>
        <w:pStyle w:val="ListParagraph"/>
        <w:numPr>
          <w:ilvl w:val="1"/>
          <w:numId w:val="1"/>
        </w:numPr>
      </w:pPr>
      <w:r>
        <w:t>Sport and Exercise Science New Zealand (SESNZ) is the key professional body for the sport and exercise sciences in New Zealand.  SESNZ’s mission is to support and promote the continued development of sport and exercise science within New Zealand through evidence-based practice.  SESNZ is the lead organisation, within New Zealand, for accreditation of higher education sport and exercise science graduates.</w:t>
      </w:r>
    </w:p>
    <w:p w14:paraId="06854859" w14:textId="1EDCECD6" w:rsidR="007A294F" w:rsidRDefault="007A294F" w:rsidP="007A294F"/>
    <w:p w14:paraId="1C769A19" w14:textId="7D56C245" w:rsidR="007A294F" w:rsidRDefault="009026A8" w:rsidP="009026A8">
      <w:pPr>
        <w:pStyle w:val="Heading1"/>
        <w:numPr>
          <w:ilvl w:val="0"/>
          <w:numId w:val="1"/>
        </w:numPr>
      </w:pPr>
      <w:r>
        <w:t>Collaboration</w:t>
      </w:r>
    </w:p>
    <w:p w14:paraId="0467DDC9" w14:textId="626BC56A" w:rsidR="009026A8" w:rsidRDefault="009026A8" w:rsidP="009026A8">
      <w:pPr>
        <w:pStyle w:val="ListParagraph"/>
        <w:numPr>
          <w:ilvl w:val="1"/>
          <w:numId w:val="1"/>
        </w:numPr>
      </w:pPr>
      <w:r>
        <w:t>Global Presence for Members</w:t>
      </w:r>
    </w:p>
    <w:p w14:paraId="5B81573C" w14:textId="77777777" w:rsidR="00D46BB9" w:rsidRDefault="00D46BB9" w:rsidP="00D46BB9">
      <w:pPr>
        <w:pStyle w:val="ListParagraph"/>
      </w:pPr>
    </w:p>
    <w:p w14:paraId="3358BF04" w14:textId="69A595FD" w:rsidR="009026A8" w:rsidRDefault="009026A8" w:rsidP="009026A8">
      <w:pPr>
        <w:pStyle w:val="ListParagraph"/>
        <w:numPr>
          <w:ilvl w:val="2"/>
          <w:numId w:val="1"/>
        </w:numPr>
      </w:pPr>
      <w:r>
        <w:t>A MOU will be communicated to both BASES and SESNZ members via appropriate communication platforms.</w:t>
      </w:r>
    </w:p>
    <w:p w14:paraId="212D8074" w14:textId="232F27BB" w:rsidR="009026A8" w:rsidRDefault="009026A8" w:rsidP="009026A8">
      <w:pPr>
        <w:pStyle w:val="ListParagraph"/>
        <w:numPr>
          <w:ilvl w:val="2"/>
          <w:numId w:val="1"/>
        </w:numPr>
      </w:pPr>
      <w:r>
        <w:t>Each partner agrees to recognise their global counterparts, and link to the partner organisation’s websites.</w:t>
      </w:r>
    </w:p>
    <w:p w14:paraId="6313FA36" w14:textId="77777777" w:rsidR="00487869" w:rsidRDefault="00487869" w:rsidP="00B245A8">
      <w:pPr>
        <w:pStyle w:val="ListParagraph"/>
        <w:ind w:left="1080"/>
      </w:pPr>
    </w:p>
    <w:p w14:paraId="3AA49A1E" w14:textId="0BFC8FF0" w:rsidR="009026A8" w:rsidRDefault="009026A8" w:rsidP="009026A8">
      <w:pPr>
        <w:pStyle w:val="ListParagraph"/>
        <w:numPr>
          <w:ilvl w:val="1"/>
          <w:numId w:val="1"/>
        </w:numPr>
      </w:pPr>
      <w:r>
        <w:t>Member Activities</w:t>
      </w:r>
    </w:p>
    <w:p w14:paraId="732A9651" w14:textId="77777777" w:rsidR="00D46BB9" w:rsidRDefault="00D46BB9" w:rsidP="00D46BB9">
      <w:pPr>
        <w:pStyle w:val="ListParagraph"/>
      </w:pPr>
    </w:p>
    <w:p w14:paraId="0980339D" w14:textId="3BA0B24D" w:rsidR="009026A8" w:rsidRDefault="009026A8" w:rsidP="009026A8">
      <w:pPr>
        <w:pStyle w:val="ListParagraph"/>
      </w:pPr>
      <w:r>
        <w:t>Each partner agrees to:</w:t>
      </w:r>
    </w:p>
    <w:p w14:paraId="1EE502F3" w14:textId="2EB781A8" w:rsidR="009026A8" w:rsidRDefault="009026A8" w:rsidP="009026A8">
      <w:pPr>
        <w:pStyle w:val="ListParagraph"/>
        <w:numPr>
          <w:ilvl w:val="2"/>
          <w:numId w:val="1"/>
        </w:numPr>
      </w:pPr>
      <w:r>
        <w:t>Recognise each other’s membership status to allow for full reciprocal status.</w:t>
      </w:r>
    </w:p>
    <w:p w14:paraId="04A0FA85" w14:textId="6F616E09" w:rsidR="009026A8" w:rsidRDefault="009026A8" w:rsidP="009026A8">
      <w:pPr>
        <w:pStyle w:val="ListParagraph"/>
        <w:numPr>
          <w:ilvl w:val="2"/>
          <w:numId w:val="1"/>
        </w:numPr>
      </w:pPr>
      <w:r>
        <w:lastRenderedPageBreak/>
        <w:t>Offer Conference registration to partner organisation’s members at the same rate as that offered to the local member (for a comparable membership category).</w:t>
      </w:r>
    </w:p>
    <w:p w14:paraId="07C73DDE" w14:textId="2CD8257E" w:rsidR="009026A8" w:rsidRDefault="009026A8" w:rsidP="009026A8">
      <w:pPr>
        <w:pStyle w:val="ListParagraph"/>
        <w:numPr>
          <w:ilvl w:val="2"/>
          <w:numId w:val="1"/>
        </w:numPr>
      </w:pPr>
      <w:r>
        <w:t>Offer continuing education registration to partner organisation’s members at the same or reduced rate as that offered to the local member (for a comparable membership category).</w:t>
      </w:r>
    </w:p>
    <w:p w14:paraId="7B23160E" w14:textId="32123187" w:rsidR="00F615D7" w:rsidRDefault="00F615D7" w:rsidP="009026A8">
      <w:pPr>
        <w:pStyle w:val="ListParagraph"/>
        <w:numPr>
          <w:ilvl w:val="2"/>
          <w:numId w:val="1"/>
        </w:numPr>
      </w:pPr>
      <w:r>
        <w:t>Assess their and the partner organisation’s accreditation structures to determine whether:</w:t>
      </w:r>
    </w:p>
    <w:p w14:paraId="3F336492" w14:textId="77777777" w:rsidR="00D10E3F" w:rsidRDefault="00D10E3F" w:rsidP="00D10E3F">
      <w:pPr>
        <w:ind w:left="1440"/>
      </w:pPr>
      <w:r>
        <w:t>3.2.4.1</w:t>
      </w:r>
      <w:r>
        <w:tab/>
      </w:r>
      <w:r w:rsidR="00F615D7">
        <w:t>Greater co</w:t>
      </w:r>
      <w:bookmarkStart w:id="0" w:name="_GoBack"/>
      <w:bookmarkEnd w:id="0"/>
      <w:r w:rsidR="00F615D7">
        <w:t>nsistency can be achieved in professional standards and</w:t>
      </w:r>
      <w:r w:rsidR="00991738">
        <w:t xml:space="preserve"> accreditation requirements, whilst maintaining any necessary regional variations required for local industry practice; and</w:t>
      </w:r>
    </w:p>
    <w:p w14:paraId="56B62DD3" w14:textId="5CF51BD8" w:rsidR="00D10E3F" w:rsidRDefault="00D10E3F" w:rsidP="00D10E3F">
      <w:pPr>
        <w:ind w:left="1440"/>
      </w:pPr>
      <w:r>
        <w:t>3.2.4.2</w:t>
      </w:r>
      <w:r>
        <w:tab/>
        <w:t>Full reciprocal accreditation status can be achieved</w:t>
      </w:r>
      <w:r w:rsidR="00487869">
        <w:t xml:space="preserve"> through the mapping of </w:t>
      </w:r>
      <w:r w:rsidR="00E11BE7">
        <w:t xml:space="preserve">the two organisation’s </w:t>
      </w:r>
      <w:r w:rsidR="00487869">
        <w:t>accreditation requir</w:t>
      </w:r>
      <w:r w:rsidR="00E11BE7">
        <w:t>e</w:t>
      </w:r>
      <w:r w:rsidR="00487869">
        <w:t>ments</w:t>
      </w:r>
      <w:r>
        <w:t>.</w:t>
      </w:r>
    </w:p>
    <w:p w14:paraId="6E8D8210" w14:textId="4D7AC33D" w:rsidR="00487869" w:rsidRDefault="00CF7F56" w:rsidP="00487869">
      <w:pPr>
        <w:pStyle w:val="ListParagraph"/>
        <w:numPr>
          <w:ilvl w:val="2"/>
          <w:numId w:val="1"/>
        </w:numPr>
      </w:pPr>
      <w:r>
        <w:t>When beneficial</w:t>
      </w:r>
      <w:r w:rsidR="00487869">
        <w:t>, seek</w:t>
      </w:r>
      <w:r>
        <w:t xml:space="preserve"> to collaborate on position and expert statements and roundtable papers.</w:t>
      </w:r>
    </w:p>
    <w:p w14:paraId="465C6499" w14:textId="77777777" w:rsidR="00487869" w:rsidRDefault="00487869" w:rsidP="00487869">
      <w:pPr>
        <w:pStyle w:val="ListParagraph"/>
        <w:ind w:left="1080"/>
      </w:pPr>
    </w:p>
    <w:p w14:paraId="79260E46" w14:textId="57B82D97" w:rsidR="00CF7F56" w:rsidRDefault="00CF7F56" w:rsidP="00CF7F56">
      <w:pPr>
        <w:pStyle w:val="ListParagraph"/>
        <w:numPr>
          <w:ilvl w:val="1"/>
          <w:numId w:val="1"/>
        </w:numPr>
      </w:pPr>
      <w:r>
        <w:t>Global Sharing of information</w:t>
      </w:r>
      <w:r w:rsidR="00E11BE7">
        <w:t xml:space="preserve"> and resources</w:t>
      </w:r>
    </w:p>
    <w:p w14:paraId="75925010" w14:textId="77777777" w:rsidR="00D46BB9" w:rsidRDefault="00D46BB9" w:rsidP="00D46BB9">
      <w:pPr>
        <w:pStyle w:val="ListParagraph"/>
      </w:pPr>
    </w:p>
    <w:p w14:paraId="28E3CF5A" w14:textId="12068D25" w:rsidR="00E11BE7" w:rsidRDefault="00E11BE7" w:rsidP="00C670A3">
      <w:pPr>
        <w:pStyle w:val="ListParagraph"/>
        <w:numPr>
          <w:ilvl w:val="2"/>
          <w:numId w:val="1"/>
        </w:numPr>
      </w:pPr>
      <w:r>
        <w:t>Where applicable and agreed by both organisations, seek to develop an agreement to share selected learning and CPD resources such as webinar recordings/podcasts, videos, presentations and any other material that is not protected by copyright.</w:t>
      </w:r>
    </w:p>
    <w:p w14:paraId="13ABBE0B" w14:textId="5ED25923" w:rsidR="00CF7F56" w:rsidRDefault="00CF7F56" w:rsidP="00C670A3">
      <w:pPr>
        <w:pStyle w:val="ListParagraph"/>
        <w:numPr>
          <w:ilvl w:val="2"/>
          <w:numId w:val="1"/>
        </w:numPr>
      </w:pPr>
      <w:r>
        <w:t>Each partner organisation agrees to provide each other information regarding ethics and disciplinary decision matters where the person is a member of both organisations on the receipt of an appropriate authority from the person.</w:t>
      </w:r>
    </w:p>
    <w:p w14:paraId="62934892" w14:textId="5DF80EDE" w:rsidR="00C670A3" w:rsidRDefault="00C670A3" w:rsidP="00C670A3">
      <w:pPr>
        <w:ind w:left="360"/>
      </w:pPr>
    </w:p>
    <w:p w14:paraId="105F376A" w14:textId="4246F250" w:rsidR="00C670A3" w:rsidRDefault="00C670A3" w:rsidP="00C670A3">
      <w:pPr>
        <w:pStyle w:val="Heading1"/>
        <w:numPr>
          <w:ilvl w:val="0"/>
          <w:numId w:val="1"/>
        </w:numPr>
      </w:pPr>
      <w:r>
        <w:t>Resource implications</w:t>
      </w:r>
    </w:p>
    <w:p w14:paraId="36CAD030" w14:textId="00EE2004" w:rsidR="00C670A3" w:rsidRDefault="00C670A3" w:rsidP="00C670A3">
      <w:pPr>
        <w:pStyle w:val="ListParagraph"/>
        <w:numPr>
          <w:ilvl w:val="1"/>
          <w:numId w:val="1"/>
        </w:numPr>
      </w:pPr>
      <w:r>
        <w:t>Any costs incurred by an organisation in the implementation of this MOU will be paid by that organisation unless a prior agreement outlining a transfer/division of expenses to partner organisations has been agreed.</w:t>
      </w:r>
    </w:p>
    <w:p w14:paraId="6ED05B65" w14:textId="1836BEC7" w:rsidR="00C670A3" w:rsidRDefault="00C670A3" w:rsidP="00C670A3">
      <w:pPr>
        <w:ind w:left="360"/>
      </w:pPr>
    </w:p>
    <w:p w14:paraId="074186E7" w14:textId="2C2B647B" w:rsidR="00C670A3" w:rsidRDefault="00C670A3" w:rsidP="00C670A3">
      <w:pPr>
        <w:pStyle w:val="Heading1"/>
        <w:numPr>
          <w:ilvl w:val="0"/>
          <w:numId w:val="1"/>
        </w:numPr>
      </w:pPr>
      <w:r>
        <w:t>Review</w:t>
      </w:r>
    </w:p>
    <w:p w14:paraId="17BA90C3" w14:textId="3CD89F09" w:rsidR="00C670A3" w:rsidRDefault="00C670A3" w:rsidP="00C670A3">
      <w:pPr>
        <w:pStyle w:val="ListParagraph"/>
        <w:numPr>
          <w:ilvl w:val="1"/>
          <w:numId w:val="1"/>
        </w:numPr>
      </w:pPr>
      <w:r>
        <w:t>This MOU will be reviewed at least biennially by both partner organisations.</w:t>
      </w:r>
    </w:p>
    <w:p w14:paraId="116A7A0A" w14:textId="12BDE25E" w:rsidR="00C670A3" w:rsidRDefault="00C670A3" w:rsidP="00C670A3">
      <w:pPr>
        <w:pStyle w:val="ListParagraph"/>
        <w:numPr>
          <w:ilvl w:val="1"/>
          <w:numId w:val="1"/>
        </w:numPr>
      </w:pPr>
      <w:r>
        <w:t>This MOU can be amended at any time upon unanimous agreement.</w:t>
      </w:r>
    </w:p>
    <w:p w14:paraId="19A1DB89" w14:textId="0E3F8265" w:rsidR="00C670A3" w:rsidRDefault="00C670A3" w:rsidP="00C670A3">
      <w:pPr>
        <w:ind w:left="360"/>
      </w:pPr>
    </w:p>
    <w:p w14:paraId="357A1D35" w14:textId="1C25A16B" w:rsidR="00C670A3" w:rsidRDefault="00C670A3" w:rsidP="00C670A3">
      <w:pPr>
        <w:pStyle w:val="Heading1"/>
        <w:numPr>
          <w:ilvl w:val="0"/>
          <w:numId w:val="1"/>
        </w:numPr>
      </w:pPr>
      <w:r>
        <w:t>Confidentiality</w:t>
      </w:r>
    </w:p>
    <w:p w14:paraId="6AAE4795" w14:textId="13C54688" w:rsidR="00C670A3" w:rsidRDefault="00273615" w:rsidP="00273615">
      <w:pPr>
        <w:pStyle w:val="ListParagraph"/>
        <w:numPr>
          <w:ilvl w:val="1"/>
          <w:numId w:val="1"/>
        </w:numPr>
      </w:pPr>
      <w:r>
        <w:t>Each organisation will comply with any applicable privacy legislation in their jurisdiction regarding any personal information they receive about members of the other partner organisation.  This provision will survive termination of this MOU.</w:t>
      </w:r>
    </w:p>
    <w:p w14:paraId="02084ED7" w14:textId="169A3ACD" w:rsidR="00273615" w:rsidRDefault="00273615" w:rsidP="00273615">
      <w:pPr>
        <w:pStyle w:val="ListParagraph"/>
        <w:numPr>
          <w:ilvl w:val="1"/>
          <w:numId w:val="1"/>
        </w:numPr>
      </w:pPr>
      <w:r>
        <w:t xml:space="preserve">Each partner organisation agrees not to disclose any information or documents that comes to its knowledge or into its possession by reason of this MOU that the other partner </w:t>
      </w:r>
      <w:r>
        <w:lastRenderedPageBreak/>
        <w:t>organisation has explicitly or implicitly indicated as confidential unless otherwise required pursuant to judicial or legislative authority in the respective jurisdiction.  Tis provision will survive termination of this MOU.</w:t>
      </w:r>
    </w:p>
    <w:p w14:paraId="5874E0EC" w14:textId="01259812" w:rsidR="00273615" w:rsidRDefault="00273615" w:rsidP="00273615">
      <w:pPr>
        <w:ind w:left="360"/>
      </w:pPr>
    </w:p>
    <w:p w14:paraId="1A47A91B" w14:textId="483819FD" w:rsidR="00273615" w:rsidRDefault="00273615" w:rsidP="00273615">
      <w:pPr>
        <w:pStyle w:val="Heading1"/>
        <w:numPr>
          <w:ilvl w:val="0"/>
          <w:numId w:val="1"/>
        </w:numPr>
      </w:pPr>
      <w:r>
        <w:t>Duration</w:t>
      </w:r>
    </w:p>
    <w:p w14:paraId="2B49D4A1" w14:textId="7D3621BA" w:rsidR="00273615" w:rsidRDefault="00273615" w:rsidP="00273615">
      <w:pPr>
        <w:pStyle w:val="ListParagraph"/>
        <w:numPr>
          <w:ilvl w:val="1"/>
          <w:numId w:val="1"/>
        </w:numPr>
      </w:pPr>
      <w:r>
        <w:t>This MOU will be effective immediately upon signing below after which time the MOU will be reviewed by both parties.  If the review does not conclude with a mutually agreed outcome within 60 days of the review period commencing, the MOU terminates.</w:t>
      </w:r>
    </w:p>
    <w:p w14:paraId="10F136C4" w14:textId="72B0A512" w:rsidR="00273615" w:rsidRDefault="00273615" w:rsidP="00273615">
      <w:pPr>
        <w:pStyle w:val="ListParagraph"/>
        <w:numPr>
          <w:ilvl w:val="1"/>
          <w:numId w:val="1"/>
        </w:numPr>
      </w:pPr>
      <w:r>
        <w:t>Either party may terminate this MOU in writing at any time with 60 days’ notice required.</w:t>
      </w:r>
    </w:p>
    <w:p w14:paraId="7DB99128" w14:textId="54A439A4" w:rsidR="00927BD5" w:rsidRDefault="00927BD5" w:rsidP="00927BD5">
      <w:pPr>
        <w:ind w:left="360"/>
      </w:pPr>
    </w:p>
    <w:p w14:paraId="3B442604" w14:textId="356BD255" w:rsidR="00927BD5" w:rsidRDefault="00927BD5" w:rsidP="00927BD5">
      <w:pPr>
        <w:pStyle w:val="Heading1"/>
      </w:pPr>
      <w:r>
        <w:t>Commencement</w:t>
      </w:r>
    </w:p>
    <w:p w14:paraId="7C8738C7" w14:textId="0470DE40" w:rsidR="00927BD5" w:rsidRDefault="00927BD5" w:rsidP="00927B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269"/>
      </w:tblGrid>
      <w:tr w:rsidR="00927BD5" w:rsidRPr="00D46BB9" w14:paraId="40FC2375" w14:textId="178EC9BD" w:rsidTr="00927BD5">
        <w:tc>
          <w:tcPr>
            <w:tcW w:w="4757" w:type="dxa"/>
          </w:tcPr>
          <w:p w14:paraId="63369B99" w14:textId="3628E3E9" w:rsidR="00927BD5" w:rsidRPr="00D46BB9" w:rsidRDefault="00927BD5" w:rsidP="00927BD5">
            <w:pPr>
              <w:rPr>
                <w:i/>
                <w:sz w:val="28"/>
                <w:szCs w:val="28"/>
              </w:rPr>
            </w:pPr>
            <w:bookmarkStart w:id="1" w:name="_Hlk524689291"/>
            <w:r w:rsidRPr="00D46BB9">
              <w:rPr>
                <w:i/>
                <w:sz w:val="28"/>
                <w:szCs w:val="28"/>
              </w:rPr>
              <w:t>Signed on behalf of BASES</w:t>
            </w:r>
            <w:r w:rsidR="00D46BB9">
              <w:rPr>
                <w:i/>
                <w:sz w:val="28"/>
                <w:szCs w:val="28"/>
              </w:rPr>
              <w:t>:</w:t>
            </w:r>
          </w:p>
        </w:tc>
        <w:tc>
          <w:tcPr>
            <w:tcW w:w="4269" w:type="dxa"/>
          </w:tcPr>
          <w:p w14:paraId="63465B78" w14:textId="77777777" w:rsidR="00927BD5" w:rsidRDefault="00927BD5" w:rsidP="00927BD5">
            <w:pPr>
              <w:rPr>
                <w:i/>
                <w:sz w:val="28"/>
                <w:szCs w:val="28"/>
              </w:rPr>
            </w:pPr>
            <w:r w:rsidRPr="00D46BB9">
              <w:rPr>
                <w:i/>
                <w:sz w:val="28"/>
                <w:szCs w:val="28"/>
              </w:rPr>
              <w:t xml:space="preserve">Signed on behalf of </w:t>
            </w:r>
            <w:r w:rsidR="00D46BB9">
              <w:rPr>
                <w:i/>
                <w:sz w:val="28"/>
                <w:szCs w:val="28"/>
              </w:rPr>
              <w:t>SESNZ:</w:t>
            </w:r>
          </w:p>
          <w:p w14:paraId="5BDE1998" w14:textId="5B804791" w:rsidR="00D46BB9" w:rsidRPr="00D46BB9" w:rsidRDefault="00D46BB9" w:rsidP="00927BD5">
            <w:pPr>
              <w:rPr>
                <w:i/>
                <w:sz w:val="28"/>
                <w:szCs w:val="28"/>
              </w:rPr>
            </w:pPr>
          </w:p>
        </w:tc>
      </w:tr>
      <w:tr w:rsidR="00927BD5" w:rsidRPr="00D46BB9" w14:paraId="42BFDCA5" w14:textId="7288D66D" w:rsidTr="00927BD5">
        <w:tc>
          <w:tcPr>
            <w:tcW w:w="4757" w:type="dxa"/>
          </w:tcPr>
          <w:p w14:paraId="23E92868" w14:textId="32148210" w:rsidR="00927BD5" w:rsidRPr="00D46BB9" w:rsidRDefault="00927BD5" w:rsidP="00927BD5">
            <w:pPr>
              <w:rPr>
                <w:i/>
                <w:sz w:val="28"/>
                <w:szCs w:val="28"/>
              </w:rPr>
            </w:pPr>
            <w:r w:rsidRPr="00D46BB9">
              <w:rPr>
                <w:i/>
                <w:sz w:val="28"/>
                <w:szCs w:val="28"/>
              </w:rPr>
              <w:t>Name:</w:t>
            </w:r>
            <w:r w:rsidR="00D46BB9">
              <w:rPr>
                <w:i/>
                <w:sz w:val="28"/>
                <w:szCs w:val="28"/>
              </w:rPr>
              <w:t xml:space="preserve"> </w:t>
            </w:r>
            <w:r w:rsidR="00D46BB9" w:rsidRPr="00D46BB9">
              <w:rPr>
                <w:sz w:val="28"/>
                <w:szCs w:val="28"/>
              </w:rPr>
              <w:t>Dr Keith Tolfrey</w:t>
            </w:r>
          </w:p>
        </w:tc>
        <w:tc>
          <w:tcPr>
            <w:tcW w:w="4269" w:type="dxa"/>
          </w:tcPr>
          <w:p w14:paraId="513BA96B" w14:textId="6F286C51" w:rsidR="00927BD5" w:rsidRDefault="00927BD5" w:rsidP="00927BD5">
            <w:pPr>
              <w:rPr>
                <w:i/>
                <w:sz w:val="28"/>
                <w:szCs w:val="28"/>
              </w:rPr>
            </w:pPr>
            <w:r w:rsidRPr="00D46BB9">
              <w:rPr>
                <w:i/>
                <w:sz w:val="28"/>
                <w:szCs w:val="28"/>
              </w:rPr>
              <w:t>Name:</w:t>
            </w:r>
            <w:r w:rsidR="00D46BB9">
              <w:rPr>
                <w:i/>
                <w:sz w:val="28"/>
                <w:szCs w:val="28"/>
              </w:rPr>
              <w:t xml:space="preserve"> </w:t>
            </w:r>
            <w:r w:rsidR="00D46BB9" w:rsidRPr="00D46BB9">
              <w:rPr>
                <w:sz w:val="28"/>
                <w:szCs w:val="28"/>
              </w:rPr>
              <w:t>Professor Nick Draper</w:t>
            </w:r>
          </w:p>
          <w:p w14:paraId="0696F742" w14:textId="1D2FE39C" w:rsidR="00D46BB9" w:rsidRPr="00D46BB9" w:rsidRDefault="00D46BB9" w:rsidP="00927BD5">
            <w:pPr>
              <w:rPr>
                <w:i/>
                <w:sz w:val="28"/>
                <w:szCs w:val="28"/>
              </w:rPr>
            </w:pPr>
          </w:p>
        </w:tc>
      </w:tr>
      <w:tr w:rsidR="00927BD5" w:rsidRPr="00D46BB9" w14:paraId="3FFA7313" w14:textId="68984291" w:rsidTr="00927BD5">
        <w:tc>
          <w:tcPr>
            <w:tcW w:w="4757" w:type="dxa"/>
          </w:tcPr>
          <w:p w14:paraId="282EEC8F" w14:textId="77777777" w:rsidR="00927BD5" w:rsidRDefault="00927BD5" w:rsidP="00927BD5">
            <w:pPr>
              <w:rPr>
                <w:i/>
                <w:sz w:val="28"/>
                <w:szCs w:val="28"/>
              </w:rPr>
            </w:pPr>
            <w:r w:rsidRPr="00D46BB9">
              <w:rPr>
                <w:i/>
                <w:sz w:val="28"/>
                <w:szCs w:val="28"/>
              </w:rPr>
              <w:t>Signature:</w:t>
            </w:r>
          </w:p>
          <w:p w14:paraId="55808EFD" w14:textId="57CE80C5" w:rsidR="00D46BB9" w:rsidRPr="00D46BB9" w:rsidRDefault="00D46BB9" w:rsidP="00927BD5">
            <w:pPr>
              <w:rPr>
                <w:i/>
                <w:sz w:val="28"/>
                <w:szCs w:val="28"/>
              </w:rPr>
            </w:pPr>
          </w:p>
        </w:tc>
        <w:tc>
          <w:tcPr>
            <w:tcW w:w="4269" w:type="dxa"/>
          </w:tcPr>
          <w:p w14:paraId="343E993B" w14:textId="5B8A6640" w:rsidR="00927BD5" w:rsidRPr="00D46BB9" w:rsidRDefault="00927BD5" w:rsidP="00927BD5">
            <w:pPr>
              <w:rPr>
                <w:i/>
                <w:sz w:val="28"/>
                <w:szCs w:val="28"/>
              </w:rPr>
            </w:pPr>
            <w:r w:rsidRPr="00D46BB9">
              <w:rPr>
                <w:i/>
                <w:sz w:val="28"/>
                <w:szCs w:val="28"/>
              </w:rPr>
              <w:t>Signature:</w:t>
            </w:r>
          </w:p>
        </w:tc>
      </w:tr>
      <w:tr w:rsidR="00927BD5" w:rsidRPr="00D46BB9" w14:paraId="34DF93AB" w14:textId="60893D21" w:rsidTr="00927BD5">
        <w:tc>
          <w:tcPr>
            <w:tcW w:w="4757" w:type="dxa"/>
          </w:tcPr>
          <w:p w14:paraId="061D80B7" w14:textId="46B28767" w:rsidR="00927BD5" w:rsidRPr="00D46BB9" w:rsidRDefault="00927BD5" w:rsidP="00927BD5">
            <w:pPr>
              <w:rPr>
                <w:i/>
                <w:sz w:val="28"/>
                <w:szCs w:val="28"/>
              </w:rPr>
            </w:pPr>
            <w:r w:rsidRPr="00D46BB9">
              <w:rPr>
                <w:i/>
                <w:sz w:val="28"/>
                <w:szCs w:val="28"/>
              </w:rPr>
              <w:t>Date:</w:t>
            </w:r>
            <w:r w:rsidR="0077535E">
              <w:rPr>
                <w:i/>
                <w:sz w:val="28"/>
                <w:szCs w:val="28"/>
              </w:rPr>
              <w:t xml:space="preserve"> </w:t>
            </w:r>
            <w:r w:rsidR="0077535E" w:rsidRPr="00DB568D">
              <w:rPr>
                <w:sz w:val="28"/>
                <w:szCs w:val="28"/>
              </w:rPr>
              <w:t>2</w:t>
            </w:r>
            <w:r w:rsidR="00622711">
              <w:rPr>
                <w:sz w:val="28"/>
                <w:szCs w:val="28"/>
              </w:rPr>
              <w:t>7</w:t>
            </w:r>
            <w:r w:rsidR="0077535E" w:rsidRPr="00DB568D">
              <w:rPr>
                <w:sz w:val="28"/>
                <w:szCs w:val="28"/>
                <w:vertAlign w:val="superscript"/>
              </w:rPr>
              <w:t>th</w:t>
            </w:r>
            <w:r w:rsidR="0077535E" w:rsidRPr="00DB568D">
              <w:rPr>
                <w:sz w:val="28"/>
                <w:szCs w:val="28"/>
              </w:rPr>
              <w:t xml:space="preserve"> October 2018</w:t>
            </w:r>
          </w:p>
        </w:tc>
        <w:tc>
          <w:tcPr>
            <w:tcW w:w="4269" w:type="dxa"/>
          </w:tcPr>
          <w:p w14:paraId="0BFB0CE2" w14:textId="4A0165A4" w:rsidR="00927BD5" w:rsidRPr="00D46BB9" w:rsidRDefault="00927BD5" w:rsidP="00927BD5">
            <w:pPr>
              <w:rPr>
                <w:i/>
                <w:sz w:val="28"/>
                <w:szCs w:val="28"/>
              </w:rPr>
            </w:pPr>
            <w:r w:rsidRPr="00D46BB9">
              <w:rPr>
                <w:i/>
                <w:sz w:val="28"/>
                <w:szCs w:val="28"/>
              </w:rPr>
              <w:t>Date:</w:t>
            </w:r>
            <w:r w:rsidR="0077535E">
              <w:rPr>
                <w:i/>
                <w:sz w:val="28"/>
                <w:szCs w:val="28"/>
              </w:rPr>
              <w:t xml:space="preserve"> </w:t>
            </w:r>
            <w:r w:rsidR="0077535E" w:rsidRPr="00DB568D">
              <w:rPr>
                <w:sz w:val="28"/>
                <w:szCs w:val="28"/>
              </w:rPr>
              <w:t>2</w:t>
            </w:r>
            <w:r w:rsidR="00622711">
              <w:rPr>
                <w:sz w:val="28"/>
                <w:szCs w:val="28"/>
              </w:rPr>
              <w:t>7</w:t>
            </w:r>
            <w:r w:rsidR="0077535E" w:rsidRPr="00DB568D">
              <w:rPr>
                <w:sz w:val="28"/>
                <w:szCs w:val="28"/>
                <w:vertAlign w:val="superscript"/>
              </w:rPr>
              <w:t>th</w:t>
            </w:r>
            <w:r w:rsidR="0077535E" w:rsidRPr="00DB568D">
              <w:rPr>
                <w:sz w:val="28"/>
                <w:szCs w:val="28"/>
              </w:rPr>
              <w:t xml:space="preserve"> October 2018</w:t>
            </w:r>
          </w:p>
        </w:tc>
      </w:tr>
      <w:bookmarkEnd w:id="1"/>
    </w:tbl>
    <w:p w14:paraId="208742A7" w14:textId="2D1A40D9" w:rsidR="00927BD5" w:rsidRPr="00927BD5" w:rsidRDefault="00927BD5" w:rsidP="00927BD5"/>
    <w:sectPr w:rsidR="00927BD5" w:rsidRPr="00927B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4FEF2" w14:textId="77777777" w:rsidR="0037638A" w:rsidRDefault="0037638A" w:rsidP="00927BD5">
      <w:pPr>
        <w:spacing w:after="0" w:line="240" w:lineRule="auto"/>
      </w:pPr>
      <w:r>
        <w:separator/>
      </w:r>
    </w:p>
  </w:endnote>
  <w:endnote w:type="continuationSeparator" w:id="0">
    <w:p w14:paraId="7EBAC547" w14:textId="77777777" w:rsidR="0037638A" w:rsidRDefault="0037638A" w:rsidP="0092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9953" w14:textId="77777777" w:rsidR="00F615D7" w:rsidRDefault="00F6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145225"/>
      <w:docPartObj>
        <w:docPartGallery w:val="Page Numbers (Bottom of Page)"/>
        <w:docPartUnique/>
      </w:docPartObj>
    </w:sdtPr>
    <w:sdtEndPr>
      <w:rPr>
        <w:color w:val="7F7F7F" w:themeColor="background1" w:themeShade="7F"/>
        <w:spacing w:val="60"/>
      </w:rPr>
    </w:sdtEndPr>
    <w:sdtContent>
      <w:p w14:paraId="735C3E35" w14:textId="77777777" w:rsidR="00F615D7" w:rsidRPr="00927BD5" w:rsidRDefault="00F615D7" w:rsidP="00927BD5">
        <w:pPr>
          <w:pStyle w:val="Footer"/>
          <w:pBdr>
            <w:top w:val="single" w:sz="4" w:space="1" w:color="D9D9D9" w:themeColor="background1" w:themeShade="D9"/>
          </w:pBdr>
        </w:pPr>
        <w:r w:rsidRPr="00927BD5">
          <w:t>MOU: The British Association of Sport and Exercise Sciences and Sport and Exercise Science New Zealand</w:t>
        </w:r>
      </w:p>
      <w:p w14:paraId="259437D4" w14:textId="0B78F5CB" w:rsidR="00F615D7" w:rsidRDefault="00F615D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E5E7D9A" w14:textId="77777777" w:rsidR="00F615D7" w:rsidRDefault="00F61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D6AB" w14:textId="77777777" w:rsidR="00F615D7" w:rsidRDefault="00F6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26FED" w14:textId="77777777" w:rsidR="0037638A" w:rsidRDefault="0037638A" w:rsidP="00927BD5">
      <w:pPr>
        <w:spacing w:after="0" w:line="240" w:lineRule="auto"/>
      </w:pPr>
      <w:r>
        <w:separator/>
      </w:r>
    </w:p>
  </w:footnote>
  <w:footnote w:type="continuationSeparator" w:id="0">
    <w:p w14:paraId="4884F0E6" w14:textId="77777777" w:rsidR="0037638A" w:rsidRDefault="0037638A" w:rsidP="0092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1CD5" w14:textId="70A04371" w:rsidR="00F615D7" w:rsidRDefault="00F61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A6F8" w14:textId="4F48340B" w:rsidR="00F615D7" w:rsidRDefault="00F61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16C9" w14:textId="5285C340" w:rsidR="00F615D7" w:rsidRDefault="00F6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40C02"/>
    <w:multiLevelType w:val="multilevel"/>
    <w:tmpl w:val="180A9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45"/>
    <w:rsid w:val="000D2C9C"/>
    <w:rsid w:val="00237815"/>
    <w:rsid w:val="00273615"/>
    <w:rsid w:val="002C2FC8"/>
    <w:rsid w:val="002F54B9"/>
    <w:rsid w:val="0037322F"/>
    <w:rsid w:val="0037638A"/>
    <w:rsid w:val="00487869"/>
    <w:rsid w:val="005F5E7E"/>
    <w:rsid w:val="00622711"/>
    <w:rsid w:val="00752573"/>
    <w:rsid w:val="0077535E"/>
    <w:rsid w:val="007A294F"/>
    <w:rsid w:val="007E1586"/>
    <w:rsid w:val="008914D0"/>
    <w:rsid w:val="009026A8"/>
    <w:rsid w:val="00927BD5"/>
    <w:rsid w:val="00991738"/>
    <w:rsid w:val="00A84859"/>
    <w:rsid w:val="00B245A8"/>
    <w:rsid w:val="00B810CF"/>
    <w:rsid w:val="00B947C2"/>
    <w:rsid w:val="00C670A3"/>
    <w:rsid w:val="00CA5092"/>
    <w:rsid w:val="00CF7F56"/>
    <w:rsid w:val="00D10E3F"/>
    <w:rsid w:val="00D46BB9"/>
    <w:rsid w:val="00D67652"/>
    <w:rsid w:val="00DB568D"/>
    <w:rsid w:val="00E02A30"/>
    <w:rsid w:val="00E11BE7"/>
    <w:rsid w:val="00E17E45"/>
    <w:rsid w:val="00F615D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832641"/>
  <w15:chartTrackingRefBased/>
  <w15:docId w15:val="{3C0FA8A4-CFF6-47CA-A873-F251E859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A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2A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A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2A3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84859"/>
    <w:pPr>
      <w:ind w:left="720"/>
      <w:contextualSpacing/>
    </w:pPr>
  </w:style>
  <w:style w:type="table" w:styleId="TableGrid">
    <w:name w:val="Table Grid"/>
    <w:basedOn w:val="TableNormal"/>
    <w:uiPriority w:val="39"/>
    <w:rsid w:val="009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BD5"/>
  </w:style>
  <w:style w:type="paragraph" w:styleId="Footer">
    <w:name w:val="footer"/>
    <w:basedOn w:val="Normal"/>
    <w:link w:val="FooterChar"/>
    <w:uiPriority w:val="99"/>
    <w:unhideWhenUsed/>
    <w:rsid w:val="00927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D5"/>
  </w:style>
  <w:style w:type="paragraph" w:styleId="BalloonText">
    <w:name w:val="Balloon Text"/>
    <w:basedOn w:val="Normal"/>
    <w:link w:val="BalloonTextChar"/>
    <w:uiPriority w:val="99"/>
    <w:semiHidden/>
    <w:unhideWhenUsed/>
    <w:rsid w:val="00487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69"/>
    <w:rPr>
      <w:rFonts w:ascii="Segoe UI" w:hAnsi="Segoe UI" w:cs="Segoe UI"/>
      <w:sz w:val="18"/>
      <w:szCs w:val="18"/>
    </w:rPr>
  </w:style>
  <w:style w:type="character" w:styleId="CommentReference">
    <w:name w:val="annotation reference"/>
    <w:basedOn w:val="DefaultParagraphFont"/>
    <w:uiPriority w:val="99"/>
    <w:semiHidden/>
    <w:unhideWhenUsed/>
    <w:rsid w:val="00487869"/>
    <w:rPr>
      <w:sz w:val="16"/>
      <w:szCs w:val="16"/>
    </w:rPr>
  </w:style>
  <w:style w:type="paragraph" w:styleId="CommentText">
    <w:name w:val="annotation text"/>
    <w:basedOn w:val="Normal"/>
    <w:link w:val="CommentTextChar"/>
    <w:uiPriority w:val="99"/>
    <w:semiHidden/>
    <w:unhideWhenUsed/>
    <w:rsid w:val="00487869"/>
    <w:pPr>
      <w:spacing w:line="240" w:lineRule="auto"/>
    </w:pPr>
    <w:rPr>
      <w:sz w:val="20"/>
      <w:szCs w:val="20"/>
    </w:rPr>
  </w:style>
  <w:style w:type="character" w:customStyle="1" w:styleId="CommentTextChar">
    <w:name w:val="Comment Text Char"/>
    <w:basedOn w:val="DefaultParagraphFont"/>
    <w:link w:val="CommentText"/>
    <w:uiPriority w:val="99"/>
    <w:semiHidden/>
    <w:rsid w:val="00487869"/>
    <w:rPr>
      <w:sz w:val="20"/>
      <w:szCs w:val="20"/>
    </w:rPr>
  </w:style>
  <w:style w:type="paragraph" w:styleId="CommentSubject">
    <w:name w:val="annotation subject"/>
    <w:basedOn w:val="CommentText"/>
    <w:next w:val="CommentText"/>
    <w:link w:val="CommentSubjectChar"/>
    <w:uiPriority w:val="99"/>
    <w:semiHidden/>
    <w:unhideWhenUsed/>
    <w:rsid w:val="00487869"/>
    <w:rPr>
      <w:b/>
      <w:bCs/>
    </w:rPr>
  </w:style>
  <w:style w:type="character" w:customStyle="1" w:styleId="CommentSubjectChar">
    <w:name w:val="Comment Subject Char"/>
    <w:basedOn w:val="CommentTextChar"/>
    <w:link w:val="CommentSubject"/>
    <w:uiPriority w:val="99"/>
    <w:semiHidden/>
    <w:rsid w:val="00487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Groome</dc:creator>
  <cp:keywords/>
  <dc:description/>
  <cp:lastModifiedBy>Keith Tolfrey</cp:lastModifiedBy>
  <cp:revision>2</cp:revision>
  <dcterms:created xsi:type="dcterms:W3CDTF">2018-09-27T09:35:00Z</dcterms:created>
  <dcterms:modified xsi:type="dcterms:W3CDTF">2018-09-27T09:35:00Z</dcterms:modified>
</cp:coreProperties>
</file>